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599" w:rsidRPr="00CC327B" w:rsidRDefault="003C2599" w:rsidP="00666464">
      <w:pPr>
        <w:shd w:val="clear" w:color="auto" w:fill="FFFFFF"/>
        <w:spacing w:before="24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32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Технические характеристики</w:t>
      </w:r>
      <w:r w:rsidR="00666464" w:rsidRPr="00CC327B">
        <w:rPr>
          <w:rFonts w:ascii="Times New Roman" w:hAnsi="Times New Roman" w:cs="Times New Roman"/>
          <w:b/>
          <w:spacing w:val="8"/>
          <w:sz w:val="28"/>
          <w:szCs w:val="28"/>
          <w:shd w:val="clear" w:color="auto" w:fill="FFFFFF"/>
        </w:rPr>
        <w:t xml:space="preserve"> </w:t>
      </w:r>
      <w:r w:rsidR="00CC327B">
        <w:rPr>
          <w:rFonts w:ascii="Times New Roman" w:hAnsi="Times New Roman" w:cs="Times New Roman"/>
          <w:b/>
          <w:spacing w:val="8"/>
          <w:sz w:val="28"/>
          <w:szCs w:val="28"/>
          <w:shd w:val="clear" w:color="auto" w:fill="FFFFFF"/>
        </w:rPr>
        <w:t>уничтожителя</w:t>
      </w:r>
      <w:r w:rsidR="00666464" w:rsidRPr="00CC327B">
        <w:rPr>
          <w:rFonts w:ascii="Times New Roman" w:hAnsi="Times New Roman" w:cs="Times New Roman"/>
          <w:b/>
          <w:spacing w:val="8"/>
          <w:sz w:val="28"/>
          <w:szCs w:val="28"/>
          <w:shd w:val="clear" w:color="auto" w:fill="FFFFFF"/>
        </w:rPr>
        <w:t xml:space="preserve"> ржавчины </w:t>
      </w:r>
      <w:r w:rsidR="00CC327B">
        <w:rPr>
          <w:rFonts w:ascii="Times New Roman" w:hAnsi="Times New Roman" w:cs="Times New Roman"/>
          <w:b/>
          <w:spacing w:val="8"/>
          <w:sz w:val="28"/>
          <w:szCs w:val="28"/>
          <w:shd w:val="clear" w:color="auto" w:fill="FFFFFF"/>
        </w:rPr>
        <w:t>В</w:t>
      </w:r>
      <w:r w:rsidR="00666464" w:rsidRPr="00CC327B">
        <w:rPr>
          <w:rFonts w:ascii="Times New Roman" w:hAnsi="Times New Roman" w:cs="Times New Roman"/>
          <w:b/>
          <w:spacing w:val="8"/>
          <w:sz w:val="28"/>
          <w:szCs w:val="28"/>
          <w:shd w:val="clear" w:color="auto" w:fill="FFFFFF"/>
        </w:rPr>
        <w:t>-52</w:t>
      </w:r>
      <w:r w:rsidR="00CC327B">
        <w:rPr>
          <w:rFonts w:ascii="Times New Roman" w:hAnsi="Times New Roman" w:cs="Times New Roman"/>
          <w:b/>
          <w:spacing w:val="8"/>
          <w:sz w:val="28"/>
          <w:szCs w:val="28"/>
          <w:shd w:val="clear" w:color="auto" w:fill="FFFFFF"/>
        </w:rPr>
        <w:t xml:space="preserve"> гель</w:t>
      </w:r>
    </w:p>
    <w:p w:rsidR="0055491D" w:rsidRPr="00CC327B" w:rsidRDefault="00666464" w:rsidP="00CC327B">
      <w:pPr>
        <w:jc w:val="both"/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</w:pPr>
      <w:proofErr w:type="gramStart"/>
      <w:r w:rsidRPr="00CC327B"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>Применяется для удаления ржавчины и окислы с поверхности железа, меди и их сплавов (сталь, жесть, латунь, бронза), а также с ткани, дерева, пластика, стекла, кафеля и фаянса.</w:t>
      </w:r>
      <w:proofErr w:type="gramEnd"/>
      <w:r w:rsidRPr="00CC327B"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 xml:space="preserve"> Консистенция геля позволяет работать с ограниченными участками поверхности, не затрагивая соседние области. Гель не дает запаха. Состав может использоваться также для травления железа, меди и их сплавов. Требует минимальных усилий при использовании. Расход: 0,11-0,12 кг на м.кв. </w:t>
      </w:r>
    </w:p>
    <w:tbl>
      <w:tblPr>
        <w:tblW w:w="129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16"/>
        <w:gridCol w:w="6459"/>
      </w:tblGrid>
      <w:tr w:rsidR="00666464" w:rsidRPr="00CC327B" w:rsidTr="00666464">
        <w:tc>
          <w:tcPr>
            <w:tcW w:w="6516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clear" w:color="auto" w:fill="F3F3F3"/>
            <w:tcMar>
              <w:top w:w="75" w:type="dxa"/>
              <w:left w:w="165" w:type="dxa"/>
              <w:bottom w:w="90" w:type="dxa"/>
              <w:right w:w="570" w:type="dxa"/>
            </w:tcMar>
            <w:hideMark/>
          </w:tcPr>
          <w:p w:rsidR="00666464" w:rsidRPr="00CC327B" w:rsidRDefault="00666464" w:rsidP="006664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CC327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Внешний вид</w:t>
            </w:r>
          </w:p>
        </w:tc>
        <w:tc>
          <w:tcPr>
            <w:tcW w:w="6459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3F3F3"/>
            <w:tcMar>
              <w:top w:w="75" w:type="dxa"/>
              <w:left w:w="165" w:type="dxa"/>
              <w:bottom w:w="90" w:type="dxa"/>
              <w:right w:w="570" w:type="dxa"/>
            </w:tcMar>
            <w:hideMark/>
          </w:tcPr>
          <w:p w:rsidR="00666464" w:rsidRPr="00CC327B" w:rsidRDefault="00666464" w:rsidP="006664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hyperlink r:id="rId5" w:tgtFrame="_blank" w:history="1">
              <w:r w:rsidRPr="00CC327B">
                <w:rPr>
                  <w:rFonts w:ascii="Times New Roman" w:eastAsia="Times New Roman" w:hAnsi="Times New Roman" w:cs="Times New Roman"/>
                  <w:spacing w:val="2"/>
                  <w:lang w:eastAsia="ru-RU"/>
                </w:rPr>
                <w:t>Прозрачная жидкость</w:t>
              </w:r>
            </w:hyperlink>
          </w:p>
        </w:tc>
      </w:tr>
      <w:tr w:rsidR="00666464" w:rsidRPr="00CC327B" w:rsidTr="00666464">
        <w:tc>
          <w:tcPr>
            <w:tcW w:w="6516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clear" w:color="auto" w:fill="F3F3F3"/>
            <w:tcMar>
              <w:top w:w="75" w:type="dxa"/>
              <w:left w:w="165" w:type="dxa"/>
              <w:bottom w:w="90" w:type="dxa"/>
              <w:right w:w="570" w:type="dxa"/>
            </w:tcMar>
            <w:hideMark/>
          </w:tcPr>
          <w:p w:rsidR="00666464" w:rsidRPr="00CC327B" w:rsidRDefault="00666464" w:rsidP="006664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CC327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Водородный показатель (</w:t>
            </w:r>
            <w:proofErr w:type="spellStart"/>
            <w:r w:rsidRPr="00CC327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pH</w:t>
            </w:r>
            <w:proofErr w:type="spellEnd"/>
            <w:r w:rsidRPr="00CC327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) 1 %-го водного раствора</w:t>
            </w:r>
          </w:p>
        </w:tc>
        <w:tc>
          <w:tcPr>
            <w:tcW w:w="6459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3F3F3"/>
            <w:tcMar>
              <w:top w:w="75" w:type="dxa"/>
              <w:left w:w="165" w:type="dxa"/>
              <w:bottom w:w="90" w:type="dxa"/>
              <w:right w:w="570" w:type="dxa"/>
            </w:tcMar>
            <w:hideMark/>
          </w:tcPr>
          <w:p w:rsidR="00666464" w:rsidRPr="00CC327B" w:rsidRDefault="00666464" w:rsidP="006664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hyperlink r:id="rId6" w:tgtFrame="_blank" w:history="1">
              <w:r w:rsidRPr="00CC327B">
                <w:rPr>
                  <w:rStyle w:val="a3"/>
                  <w:rFonts w:ascii="Times New Roman" w:eastAsia="Times New Roman" w:hAnsi="Times New Roman" w:cs="Times New Roman"/>
                  <w:color w:val="auto"/>
                  <w:spacing w:val="2"/>
                  <w:lang w:eastAsia="ru-RU"/>
                </w:rPr>
                <w:t>3</w:t>
              </w:r>
            </w:hyperlink>
          </w:p>
        </w:tc>
      </w:tr>
      <w:tr w:rsidR="00666464" w:rsidRPr="00CC327B" w:rsidTr="00666464">
        <w:tc>
          <w:tcPr>
            <w:tcW w:w="6516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clear" w:color="auto" w:fill="F3F3F3"/>
            <w:tcMar>
              <w:top w:w="75" w:type="dxa"/>
              <w:left w:w="165" w:type="dxa"/>
              <w:bottom w:w="90" w:type="dxa"/>
              <w:right w:w="570" w:type="dxa"/>
            </w:tcMar>
            <w:hideMark/>
          </w:tcPr>
          <w:p w:rsidR="00666464" w:rsidRPr="00CC327B" w:rsidRDefault="00666464" w:rsidP="006664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CC327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Срок годности</w:t>
            </w:r>
          </w:p>
        </w:tc>
        <w:tc>
          <w:tcPr>
            <w:tcW w:w="6459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3F3F3"/>
            <w:tcMar>
              <w:top w:w="75" w:type="dxa"/>
              <w:left w:w="165" w:type="dxa"/>
              <w:bottom w:w="90" w:type="dxa"/>
              <w:right w:w="570" w:type="dxa"/>
            </w:tcMar>
            <w:hideMark/>
          </w:tcPr>
          <w:p w:rsidR="00666464" w:rsidRPr="00CC327B" w:rsidRDefault="00666464" w:rsidP="006664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hyperlink r:id="rId7" w:tgtFrame="_blank" w:history="1">
              <w:r w:rsidRPr="00CC327B">
                <w:rPr>
                  <w:rStyle w:val="a3"/>
                  <w:rFonts w:ascii="Times New Roman" w:eastAsia="Times New Roman" w:hAnsi="Times New Roman" w:cs="Times New Roman"/>
                  <w:color w:val="auto"/>
                  <w:spacing w:val="2"/>
                  <w:lang w:eastAsia="ru-RU"/>
                </w:rPr>
                <w:t>24 месяца</w:t>
              </w:r>
            </w:hyperlink>
          </w:p>
        </w:tc>
      </w:tr>
      <w:tr w:rsidR="00CC327B" w:rsidRPr="00CC327B" w:rsidTr="00CC327B">
        <w:tc>
          <w:tcPr>
            <w:tcW w:w="6516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clear" w:color="auto" w:fill="F3F3F3"/>
            <w:tcMar>
              <w:top w:w="75" w:type="dxa"/>
              <w:left w:w="165" w:type="dxa"/>
              <w:bottom w:w="90" w:type="dxa"/>
              <w:right w:w="570" w:type="dxa"/>
            </w:tcMar>
            <w:hideMark/>
          </w:tcPr>
          <w:p w:rsidR="00CC327B" w:rsidRPr="00CC327B" w:rsidRDefault="00CC327B" w:rsidP="00CC327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CC327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Разрыхляющее действие, мин</w:t>
            </w:r>
          </w:p>
        </w:tc>
        <w:tc>
          <w:tcPr>
            <w:tcW w:w="6459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3F3F3"/>
            <w:tcMar>
              <w:top w:w="75" w:type="dxa"/>
              <w:left w:w="165" w:type="dxa"/>
              <w:bottom w:w="90" w:type="dxa"/>
              <w:right w:w="570" w:type="dxa"/>
            </w:tcMar>
            <w:hideMark/>
          </w:tcPr>
          <w:p w:rsidR="00CC327B" w:rsidRPr="00CC327B" w:rsidRDefault="00CC327B" w:rsidP="00CC327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hyperlink r:id="rId8" w:tgtFrame="_blank" w:history="1">
              <w:r w:rsidRPr="00CC327B">
                <w:rPr>
                  <w:rStyle w:val="a3"/>
                  <w:rFonts w:ascii="Times New Roman" w:eastAsia="Times New Roman" w:hAnsi="Times New Roman" w:cs="Times New Roman"/>
                  <w:color w:val="auto"/>
                  <w:spacing w:val="2"/>
                  <w:lang w:eastAsia="ru-RU"/>
                </w:rPr>
                <w:t>не более 10</w:t>
              </w:r>
            </w:hyperlink>
          </w:p>
        </w:tc>
      </w:tr>
      <w:tr w:rsidR="00CC327B" w:rsidRPr="00CC327B" w:rsidTr="00CC327B">
        <w:tc>
          <w:tcPr>
            <w:tcW w:w="6516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clear" w:color="auto" w:fill="F3F3F3"/>
            <w:tcMar>
              <w:top w:w="75" w:type="dxa"/>
              <w:left w:w="165" w:type="dxa"/>
              <w:bottom w:w="90" w:type="dxa"/>
              <w:right w:w="570" w:type="dxa"/>
            </w:tcMar>
            <w:hideMark/>
          </w:tcPr>
          <w:p w:rsidR="00CC327B" w:rsidRPr="00CC327B" w:rsidRDefault="00CC327B" w:rsidP="00CC327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CC327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Летучесть при 20±2</w:t>
            </w:r>
            <w:proofErr w:type="gramStart"/>
            <w:r w:rsidRPr="00CC327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°С</w:t>
            </w:r>
            <w:proofErr w:type="gramEnd"/>
            <w:r w:rsidRPr="00CC327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, %</w:t>
            </w:r>
          </w:p>
        </w:tc>
        <w:tc>
          <w:tcPr>
            <w:tcW w:w="6459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3F3F3"/>
            <w:tcMar>
              <w:top w:w="75" w:type="dxa"/>
              <w:left w:w="165" w:type="dxa"/>
              <w:bottom w:w="90" w:type="dxa"/>
              <w:right w:w="570" w:type="dxa"/>
            </w:tcMar>
            <w:hideMark/>
          </w:tcPr>
          <w:p w:rsidR="00CC327B" w:rsidRPr="00CC327B" w:rsidRDefault="00CC327B" w:rsidP="00CC327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hyperlink r:id="rId9" w:tgtFrame="_blank" w:history="1">
              <w:r w:rsidRPr="00CC327B">
                <w:rPr>
                  <w:rStyle w:val="a3"/>
                  <w:rFonts w:ascii="Times New Roman" w:eastAsia="Times New Roman" w:hAnsi="Times New Roman" w:cs="Times New Roman"/>
                  <w:color w:val="auto"/>
                  <w:spacing w:val="2"/>
                  <w:lang w:eastAsia="ru-RU"/>
                </w:rPr>
                <w:t>10</w:t>
              </w:r>
            </w:hyperlink>
          </w:p>
        </w:tc>
      </w:tr>
      <w:tr w:rsidR="00CC327B" w:rsidRPr="00CC327B" w:rsidTr="00CC327B">
        <w:tc>
          <w:tcPr>
            <w:tcW w:w="6516" w:type="dxa"/>
            <w:tcBorders>
              <w:top w:val="nil"/>
              <w:left w:val="nil"/>
              <w:bottom w:val="single" w:sz="18" w:space="0" w:color="FFFFFF"/>
              <w:right w:val="nil"/>
            </w:tcBorders>
            <w:shd w:val="clear" w:color="auto" w:fill="F3F3F3"/>
            <w:tcMar>
              <w:top w:w="75" w:type="dxa"/>
              <w:left w:w="165" w:type="dxa"/>
              <w:bottom w:w="90" w:type="dxa"/>
              <w:right w:w="570" w:type="dxa"/>
            </w:tcMar>
            <w:hideMark/>
          </w:tcPr>
          <w:p w:rsidR="00CC327B" w:rsidRPr="00CC327B" w:rsidRDefault="00CC327B" w:rsidP="00CC327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CC327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Плотность</w:t>
            </w:r>
          </w:p>
        </w:tc>
        <w:tc>
          <w:tcPr>
            <w:tcW w:w="6459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3F3F3"/>
            <w:tcMar>
              <w:top w:w="75" w:type="dxa"/>
              <w:left w:w="165" w:type="dxa"/>
              <w:bottom w:w="90" w:type="dxa"/>
              <w:right w:w="570" w:type="dxa"/>
            </w:tcMar>
            <w:hideMark/>
          </w:tcPr>
          <w:p w:rsidR="00CC327B" w:rsidRPr="00CC327B" w:rsidRDefault="00CC327B" w:rsidP="00CC327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hyperlink r:id="rId10" w:tgtFrame="_blank" w:history="1">
              <w:r w:rsidRPr="00CC327B">
                <w:rPr>
                  <w:rStyle w:val="a3"/>
                  <w:rFonts w:ascii="Times New Roman" w:eastAsia="Times New Roman" w:hAnsi="Times New Roman" w:cs="Times New Roman"/>
                  <w:color w:val="auto"/>
                  <w:spacing w:val="2"/>
                  <w:lang w:eastAsia="ru-RU"/>
                </w:rPr>
                <w:t>1,05г/см3</w:t>
              </w:r>
            </w:hyperlink>
          </w:p>
        </w:tc>
      </w:tr>
    </w:tbl>
    <w:p w:rsidR="00666464" w:rsidRPr="00666464" w:rsidRDefault="00666464">
      <w:pPr>
        <w:rPr>
          <w:rFonts w:cs="Times New Roman"/>
        </w:rPr>
      </w:pPr>
    </w:p>
    <w:sectPr w:rsidR="00666464" w:rsidRPr="00666464" w:rsidSect="00554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E31BE"/>
    <w:multiLevelType w:val="multilevel"/>
    <w:tmpl w:val="14CAE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2599"/>
    <w:rsid w:val="000B336B"/>
    <w:rsid w:val="001C7916"/>
    <w:rsid w:val="003C2599"/>
    <w:rsid w:val="0055491D"/>
    <w:rsid w:val="00666464"/>
    <w:rsid w:val="007E4A1A"/>
    <w:rsid w:val="00CC3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1D"/>
  </w:style>
  <w:style w:type="paragraph" w:styleId="2">
    <w:name w:val="heading 2"/>
    <w:basedOn w:val="a"/>
    <w:link w:val="20"/>
    <w:uiPriority w:val="9"/>
    <w:qFormat/>
    <w:rsid w:val="003C25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25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6664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4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dstroy.ru/catalog/rastvoriteli_i_bytovaya_khimiya/filter/razrykhlyayushchee-deystvie-min/ne-bolee-10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dstroy.ru/catalog/rastvoriteli_i_bytovaya_khimiya/filter/srok-godnosti-mes/24-mesyats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dstroy.ru/catalog/rastvoriteli_i_bytovaya_khimiya/filter/vodorodnyy-pokazatel-ph-1-go-vodnogo-rastvora/3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dstroy.ru/catalog/rastvoriteli_i_bytovaya_khimiya/filter/vneshniy-vid/prozrachnaya-zhidkost/" TargetMode="External"/><Relationship Id="rId10" Type="http://schemas.openxmlformats.org/officeDocument/2006/relationships/hyperlink" Target="https://rdstroy.ru/catalog/rastvoriteli_i_bytovaya_khimiya/filter/plotnost-1/1-05g-sm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dstroy.ru/catalog/rastvoriteli_i_bytovaya_khimiya/filter/letuchest-pri-20-2-s-/1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2022-09-09T07:52:00Z</dcterms:created>
  <dcterms:modified xsi:type="dcterms:W3CDTF">2022-09-09T08:04:00Z</dcterms:modified>
</cp:coreProperties>
</file>